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media/image1.png" ContentType="image/png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before="400" w:after="120"/>
        <w:rPr/>
      </w:pPr>
      <w:bookmarkStart w:id="0" w:name="_it4pny619yze"/>
      <w:bookmarkEnd w:id="0"/>
      <w:r>
        <w:rPr/>
        <w:t>Ekonomická činnost klubu Silicon Hill - Podnájem prostoru Klubovny B7 spolku Herní historie,z.s.</w:t>
      </w:r>
    </w:p>
    <w:p>
      <w:pPr>
        <w:pStyle w:val="Normal"/>
        <w:jc w:val="both"/>
        <w:rPr/>
      </w:pPr>
      <w:r>
        <w:rPr/>
        <w:t>Předmětem této ekonomické činnosti je podnájem místnosti s107 v budově na adrese Olympijská 1903/3, Praha 6. O tomto podnájmu je uzavřen dodatek k existující smlouvě, kde nájemce bude Studentská unie ČVUT, a podnájemce bude spolek Herní historie, z.s. (IČO 05823986). Spolek Herní historie, z.s. bude mít v této místnosti sklad. Pronajímatel, SÚZ ČVUT, poskytl písemný souhlas s tímto podnájmem.</w:t>
      </w:r>
    </w:p>
    <w:p>
      <w:pPr>
        <w:pStyle w:val="Normal"/>
        <w:jc w:val="both"/>
        <w:rPr/>
      </w:pPr>
      <w:r>
        <w:rPr/>
        <w:t>Částky v ceníku vycházejí ze společné domluvy mezi Studentskou unií ČVUT, klubem Silicon Hill a spolkem Herní historie, z.s. Platba nájmu bude probíhat za každé 3 uplynulé měsíce. Odběr tepla vyúčtovaný vlastníkem hradí podnájemce z 50%, Odběr elektrické energie nám je účtovaný dle odběru, podnájemce hradí ze 70% do doby montáže odděleného elektroměru, který je ve společném zájmu.</w:t>
      </w:r>
    </w:p>
    <w:p>
      <w:pPr>
        <w:pStyle w:val="Normal"/>
        <w:jc w:val="both"/>
        <w:rPr/>
      </w:pPr>
      <w:r>
        <w:rPr/>
        <w:t>Nájem prostor od SÚZ je opratřen inflační doložkou, tyto částky se tak mohou v budoucnosti mírně změnit. Nevidíme to jako důvod muset tuto EČ přeschvalovat. Uvedené ceny jsou tedy současný stav.</w:t>
      </w:r>
    </w:p>
    <w:p>
      <w:pPr>
        <w:pStyle w:val="Normal"/>
        <w:rPr>
          <w:b/>
        </w:rPr>
      </w:pPr>
      <w:r>
        <w:rPr>
          <w:b/>
        </w:rPr>
        <w:t>Termín:</w:t>
      </w:r>
    </w:p>
    <w:p>
      <w:pPr>
        <w:pStyle w:val="Normal"/>
        <w:rPr/>
      </w:pPr>
      <w:r>
        <w:rPr>
          <w:bCs/>
        </w:rPr>
        <w:t xml:space="preserve">Na dobu neomezenou – do zrušení. </w:t>
      </w:r>
      <w:r>
        <w:rPr/>
        <w:t>Ekonomická činnost vzniká okamžitě.</w:t>
      </w:r>
    </w:p>
    <w:p>
      <w:pPr>
        <w:pStyle w:val="Heading3"/>
        <w:spacing w:before="240" w:after="240"/>
        <w:rPr/>
      </w:pPr>
      <w:bookmarkStart w:id="1" w:name="_xrmy4pxgxilo"/>
      <w:bookmarkEnd w:id="1"/>
      <w:r>
        <w:rPr/>
        <w:t>Návrh na ekonomickou činnost</w:t>
      </w:r>
    </w:p>
    <w:tbl>
      <w:tblPr>
        <w:tblStyle w:val="a"/>
        <w:tblW w:w="901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noHBand="1" w:noVBand="1" w:firstColumn="0" w:lastRow="0" w:lastColumn="0" w:firstRow="0"/>
      </w:tblPr>
      <w:tblGrid>
        <w:gridCol w:w="3929"/>
        <w:gridCol w:w="2806"/>
        <w:gridCol w:w="2280"/>
      </w:tblGrid>
      <w:tr>
        <w:trPr>
          <w:trHeight w:val="545" w:hRule="atLeast"/>
        </w:trPr>
        <w:tc>
          <w:tcPr>
            <w:tcW w:w="39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>
                <w:b/>
              </w:rPr>
            </w:pPr>
            <w:r>
              <w:rPr/>
              <w:t xml:space="preserve"> </w:t>
            </w:r>
            <w:r>
              <w:rPr>
                <w:b/>
              </w:rPr>
              <w:t>Položka</w:t>
            </w:r>
          </w:p>
        </w:tc>
        <w:tc>
          <w:tcPr>
            <w:tcW w:w="2806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jc w:val="right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S DPH</w:t>
            </w:r>
          </w:p>
        </w:tc>
        <w:tc>
          <w:tcPr>
            <w:tcW w:w="2280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jc w:val="right"/>
              <w:rPr>
                <w:b/>
              </w:rPr>
            </w:pPr>
            <w:r>
              <w:rPr>
                <w:b/>
              </w:rPr>
              <w:t>Bez DPH</w:t>
            </w:r>
          </w:p>
        </w:tc>
      </w:tr>
      <w:tr>
        <w:trPr>
          <w:trHeight w:val="545" w:hRule="atLeast"/>
        </w:trPr>
        <w:tc>
          <w:tcPr>
            <w:tcW w:w="392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/>
            </w:pPr>
            <w:r>
              <w:rPr/>
              <w:t>Nájemné (čtvrtletí)</w:t>
            </w:r>
          </w:p>
        </w:tc>
        <w:tc>
          <w:tcPr>
            <w:tcW w:w="2806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/>
            </w:pPr>
            <w:r>
              <w:rPr/>
              <w:t>-</w:t>
            </w:r>
          </w:p>
        </w:tc>
        <w:tc>
          <w:tcPr>
            <w:tcW w:w="2280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/>
            </w:pPr>
            <w:r>
              <w:rPr/>
              <w:t>4500 Kč</w:t>
            </w:r>
          </w:p>
        </w:tc>
      </w:tr>
      <w:tr>
        <w:trPr>
          <w:trHeight w:val="545" w:hRule="atLeast"/>
        </w:trPr>
        <w:tc>
          <w:tcPr>
            <w:tcW w:w="392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/>
            </w:pPr>
            <w:r>
              <w:rPr/>
              <w:t>Teplo + TUV (čtvrtletí) [12% sazba]</w:t>
            </w:r>
          </w:p>
        </w:tc>
        <w:tc>
          <w:tcPr>
            <w:tcW w:w="2806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/>
            </w:pPr>
            <w:r>
              <w:rPr/>
              <w:t>3642 Kč</w:t>
            </w:r>
          </w:p>
        </w:tc>
        <w:tc>
          <w:tcPr>
            <w:tcW w:w="2280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/>
            </w:pPr>
            <w:r>
              <w:rPr/>
              <w:t>3252 Kč</w:t>
            </w:r>
          </w:p>
        </w:tc>
      </w:tr>
      <w:tr>
        <w:trPr>
          <w:trHeight w:val="545" w:hRule="atLeast"/>
        </w:trPr>
        <w:tc>
          <w:tcPr>
            <w:tcW w:w="39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/>
            </w:pPr>
            <w:r>
              <w:rPr/>
              <w:t>Elektřina (čtvrtletí)</w:t>
            </w:r>
          </w:p>
        </w:tc>
        <w:tc>
          <w:tcPr>
            <w:tcW w:w="2806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/>
            </w:pPr>
            <w:r>
              <w:rPr/>
              <w:t>1660 Kč</w:t>
            </w:r>
          </w:p>
        </w:tc>
        <w:tc>
          <w:tcPr>
            <w:tcW w:w="2280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/>
            </w:pPr>
            <w:r>
              <w:rPr/>
              <w:t>-</w:t>
            </w:r>
          </w:p>
        </w:tc>
      </w:tr>
    </w:tbl>
    <w:p>
      <w:pPr>
        <w:pStyle w:val="Normal"/>
        <w:spacing w:before="240" w:after="240"/>
        <w:jc w:val="both"/>
        <w:rPr/>
      </w:pPr>
      <w:r>
        <w:rPr/>
        <w:t>V případě rozporu se ceny řídí částkou včetně DPH.</w:t>
      </w:r>
      <w:bookmarkStart w:id="2" w:name="_kyb70zgqluhn"/>
      <w:bookmarkEnd w:id="2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tillium Web">
    <w:charset w:val="01"/>
    <w:family w:val="auto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</w:font>
  <w:font w:name="Liberation Sans">
    <w:altName w:val="Arial"/>
    <w:charset w:val="01"/>
    <w:family w:val="swiss"/>
    <w:pitch w:val="variable"/>
    <w:embedRegular r:id="rId8" w:fontKey="{08014A78-CABC-4EF0-12AC-5CD89AEFDE08}"/>
    <w:embedBold r:id="rId9" w:fontKey="{09014A78-CABC-4EF0-12AC-5CD89AEFDE09}"/>
    <w:embedItalic r:id="rId10" w:fontKey="{0A014A78-CABC-4EF0-12AC-5CD89AEFDE0A}"/>
    <w:embedBoldItalic r:id="rId11" w:fontKey="{0B014A78-CABC-4EF0-12AC-5CD89AEFDE0B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>
        <w:color w:val="A3050D"/>
      </w:rPr>
      <w:t xml:space="preserve">Jsme </w:t>
    </w:r>
    <w:r>
      <w:rPr>
        <w:b/>
        <w:color w:val="A3050D"/>
      </w:rPr>
      <w:t>Studentská unie ČVUT.</w:t>
    </w:r>
    <w:r>
      <w:rPr/>
      <w:tab/>
      <w:tab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>
        <w:color w:val="A3050D"/>
      </w:rPr>
      <w:t xml:space="preserve">Jsme </w:t>
    </w:r>
    <w:r>
      <w:rPr>
        <w:b/>
        <w:color w:val="A3050D"/>
      </w:rPr>
      <w:t>Studentská unie ČVUT.</w:t>
    </w:r>
    <w:r>
      <w:rPr/>
      <w:tab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192"/>
      <w:jc w:val="right"/>
      <w:rPr>
        <w:sz w:val="20"/>
        <w:szCs w:val="20"/>
      </w:rPr>
    </w:pPr>
    <w:r>
      <w:rPr>
        <w:b/>
        <w:color w:val="A3050D"/>
        <w:sz w:val="26"/>
        <w:szCs w:val="26"/>
      </w:rPr>
      <w:drawing>
        <wp:anchor behindDoc="1" distT="114300" distB="114300" distL="114300" distR="114300" simplePos="0" locked="0" layoutInCell="0" allowOverlap="1" relativeHeight="2">
          <wp:simplePos x="0" y="0"/>
          <wp:positionH relativeFrom="column">
            <wp:posOffset>0</wp:posOffset>
          </wp:positionH>
          <wp:positionV relativeFrom="paragraph">
            <wp:posOffset>9525</wp:posOffset>
          </wp:positionV>
          <wp:extent cx="1900555" cy="603250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055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color w:val="A3050D"/>
        <w:sz w:val="26"/>
        <w:szCs w:val="26"/>
      </w:rPr>
      <w:t>Studentská unie ČVUT</w:t>
    </w:r>
  </w:p>
  <w:p>
    <w:pPr>
      <w:pStyle w:val="Normal"/>
      <w:widowControl w:val="false"/>
      <w:spacing w:lineRule="auto" w:line="192" w:before="200" w:after="0"/>
      <w:jc w:val="right"/>
      <w:rPr>
        <w:sz w:val="20"/>
        <w:szCs w:val="20"/>
      </w:rPr>
    </w:pPr>
    <w:r>
      <w:rPr>
        <w:sz w:val="20"/>
        <w:szCs w:val="20"/>
      </w:rPr>
      <w:t xml:space="preserve">Jugoslávských partyzánů 1580/3 </w:t>
      <w:br/>
      <w:t xml:space="preserve">160 00 Praha 6 </w:t>
      <w:br/>
      <w:t>https://su.cvut.cz</w:t>
      <w:br/>
      <w:t xml:space="preserve"> su@su.cvut.cz</w:t>
    </w:r>
  </w:p>
  <w:p>
    <w:pPr>
      <w:pStyle w:val="Normal"/>
      <w:widowControl w:val="false"/>
      <w:spacing w:lineRule="auto" w:line="192"/>
      <w:jc w:val="right"/>
      <w:rPr>
        <w:sz w:val="20"/>
        <w:szCs w:val="20"/>
      </w:rPr>
    </w:pPr>
    <w:r>
      <w:rPr>
        <w:sz w:val="20"/>
        <w:szCs w:val="20"/>
      </w:rPr>
    </w:r>
  </w:p>
  <w:p>
    <w:pPr>
      <w:pStyle w:val="Normal"/>
      <w:widowControl w:val="false"/>
      <w:spacing w:lineRule="auto" w:line="192"/>
      <w:jc w:val="right"/>
      <w:rPr>
        <w:sz w:val="20"/>
        <w:szCs w:val="20"/>
      </w:rPr>
    </w:pPr>
    <w:r>
      <w:rPr>
        <w:sz w:val="20"/>
        <w:szCs w:val="20"/>
      </w:rPr>
    </w:r>
  </w:p>
  <w:p>
    <w:pPr>
      <w:pStyle w:val="Normal"/>
      <w:widowControl w:val="false"/>
      <w:spacing w:lineRule="auto" w:line="192"/>
      <w:jc w:val="right"/>
      <w:rPr>
        <w:sz w:val="20"/>
        <w:szCs w:val="20"/>
      </w:rPr>
    </w:pPr>
    <w:r>
      <w:rPr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192"/>
      <w:jc w:val="right"/>
      <w:rPr>
        <w:sz w:val="20"/>
        <w:szCs w:val="20"/>
      </w:rPr>
    </w:pPr>
    <w:r>
      <w:rPr>
        <w:b/>
        <w:color w:val="A3050D"/>
        <w:sz w:val="26"/>
        <w:szCs w:val="26"/>
      </w:rPr>
      <w:drawing>
        <wp:anchor behindDoc="1" distT="114300" distB="114300" distL="114300" distR="114300" simplePos="0" locked="0" layoutInCell="0" allowOverlap="1" relativeHeight="2">
          <wp:simplePos x="0" y="0"/>
          <wp:positionH relativeFrom="column">
            <wp:posOffset>0</wp:posOffset>
          </wp:positionH>
          <wp:positionV relativeFrom="paragraph">
            <wp:posOffset>9525</wp:posOffset>
          </wp:positionV>
          <wp:extent cx="1900555" cy="603250"/>
          <wp:effectExtent l="0" t="0" r="0" b="0"/>
          <wp:wrapSquare wrapText="bothSides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055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color w:val="A3050D"/>
        <w:sz w:val="26"/>
        <w:szCs w:val="26"/>
      </w:rPr>
      <w:t>Studentská unie ČVUT</w:t>
    </w:r>
  </w:p>
  <w:p>
    <w:pPr>
      <w:pStyle w:val="Normal"/>
      <w:widowControl w:val="false"/>
      <w:spacing w:lineRule="auto" w:line="192" w:before="200" w:after="0"/>
      <w:jc w:val="right"/>
      <w:rPr>
        <w:sz w:val="20"/>
        <w:szCs w:val="20"/>
      </w:rPr>
    </w:pPr>
    <w:r>
      <w:rPr>
        <w:sz w:val="20"/>
        <w:szCs w:val="20"/>
      </w:rPr>
      <w:t xml:space="preserve">Jugoslávských partyzánů 1580/3 </w:t>
      <w:br/>
      <w:t xml:space="preserve">160 00 Praha 6 </w:t>
      <w:br/>
      <w:t>https://su.cvut.cz</w:t>
      <w:br/>
      <w:t xml:space="preserve"> su@su.cvut.cz</w:t>
    </w:r>
  </w:p>
  <w:p>
    <w:pPr>
      <w:pStyle w:val="Normal"/>
      <w:widowControl w:val="false"/>
      <w:spacing w:lineRule="auto" w:line="192"/>
      <w:jc w:val="right"/>
      <w:rPr>
        <w:sz w:val="20"/>
        <w:szCs w:val="20"/>
      </w:rPr>
    </w:pPr>
    <w:r>
      <w:rPr>
        <w:sz w:val="20"/>
        <w:szCs w:val="20"/>
      </w:rPr>
    </w:r>
  </w:p>
  <w:p>
    <w:pPr>
      <w:pStyle w:val="Normal"/>
      <w:widowControl w:val="false"/>
      <w:spacing w:lineRule="auto" w:line="192"/>
      <w:jc w:val="right"/>
      <w:rPr>
        <w:sz w:val="20"/>
        <w:szCs w:val="20"/>
      </w:rPr>
    </w:pPr>
    <w:r>
      <w:rPr>
        <w:sz w:val="20"/>
        <w:szCs w:val="20"/>
      </w:rPr>
    </w:r>
  </w:p>
  <w:p>
    <w:pPr>
      <w:pStyle w:val="Normal"/>
      <w:widowControl w:val="false"/>
      <w:spacing w:lineRule="auto" w:line="192"/>
      <w:jc w:val="right"/>
      <w:rPr>
        <w:sz w:val="20"/>
        <w:szCs w:val="20"/>
      </w:rPr>
    </w:pPr>
    <w:r>
      <w:rPr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tillium Web" w:hAnsi="Titillium Web" w:eastAsia="Titillium Web" w:cs="Titillium Web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Titillium Web" w:hAnsi="Titillium Web" w:eastAsia="Titillium Web" w:cs="Titillium Web"/>
      <w:color w:val="auto"/>
      <w:kern w:val="0"/>
      <w:sz w:val="22"/>
      <w:szCs w:val="22"/>
      <w:lang w:val="cs-CZ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b/>
      <w:color w:val="A3050D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 w:val="true"/>
      <w:keepLines/>
      <w:pBdr>
        <w:bottom w:val="single" w:sz="6" w:space="0" w:color="E6E6E6"/>
      </w:pBdr>
      <w:shd w:val="clear" w:color="auto" w:fill="FFFFFF"/>
      <w:spacing w:lineRule="auto" w:line="240" w:before="280" w:after="80"/>
      <w:jc w:val="both"/>
      <w:outlineLvl w:val="1"/>
    </w:pPr>
    <w:rPr>
      <w:b/>
      <w:color w:val="A3050D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 w:val="true"/>
      <w:keepLines/>
      <w:spacing w:before="320" w:after="80"/>
      <w:outlineLvl w:val="2"/>
    </w:pPr>
    <w:rPr>
      <w:b/>
      <w:color w:val="A3050D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b/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b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b/>
      <w:color w:val="A3050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A3050D"/>
      <w:sz w:val="30"/>
      <w:szCs w:val="30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Application>LibreOffice/24.8.4.2$Linux_X86_64 LibreOffice_project/480$Build-2</Application>
  <AppVersion>15.0000</AppVersion>
  <Pages>1</Pages>
  <Words>226</Words>
  <Characters>1267</Characters>
  <CharactersWithSpaces>1477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2025-02-11T09:09:00Z</dcterms:created>
  <dc:creator/>
  <dc:description/>
  <dc:language>en-US</dc:language>
  <cp:lastModifiedBy>Martin Vadlejch</cp:lastModifiedBy>
  <cp:lastPrinted>2025-02-20T13:54:46Z</cp:lastPrinted>
  <dcterms:modified xsi:type="dcterms:W3CDTF">2025-02-11T09:40:00Z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